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819"/>
        <w:gridCol w:w="1561"/>
        <w:gridCol w:w="1380"/>
        <w:gridCol w:w="940"/>
        <w:gridCol w:w="860"/>
        <w:gridCol w:w="176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6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highlight w:val="none"/>
              </w:rPr>
              <w:t>附件1：2018年度公开招聘岗位汇总表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(第二批）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部门</w:t>
            </w:r>
          </w:p>
        </w:tc>
        <w:tc>
          <w:tcPr>
            <w:tcW w:w="8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岗位名称</w:t>
            </w: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专业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研究方向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招聘人数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招聘岗位所需特殊条件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highlight w:val="no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  <w:tc>
          <w:tcPr>
            <w:tcW w:w="8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6"/>
                <w:szCs w:val="16"/>
                <w:highlight w:val="none"/>
              </w:rPr>
              <w:t>博士或硕士副教授以上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文学与传媒学院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戏剧与影视学或设计学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影视动画或动画后期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本科应为动画专业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中国语言文学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秘书学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本科应为秘书学专业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数学与计算机学院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统计学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数据分析或数据挖掘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经济统计学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金融工程或量化投资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计算机科学与技术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 xml:space="preserve">嵌入式系统及应用 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数学与应用数学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应用数学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化学与材料工程学院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化学工程与技术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化学工程或化学工艺或应用化学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本科应为一本院校，本科所学专业为应用化学，高分子材料与工程，材料化学或相近专业（化学，化学工程，化学工艺，材料物理与化学，材料学，材料加工工程）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材料科学与工程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材料物理与化学 或材料加工工程 或 材料学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高分子材料科学与工程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高分子材料与工程或材料学或材料加工工程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旅游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与历史文化学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旅游管理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旅游经济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美术与设计学院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视觉传达设计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平面方向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音乐与教育学院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音乐学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音乐教育学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艺术类专门院校毕业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音乐学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声乐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艺术类专门院校毕业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网球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足球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参加省级比赛并获奖；获得国家二级运动员证书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乒乓球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游泳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轮滑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体育教育训练学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体操</w:t>
            </w: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外国语学院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商务英语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商务英语方向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英语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外国语言文学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商学院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审计学或会计学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2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电子商务方向（网络或软件工程）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工商管理方向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会计或审计方向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经济学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国际经济与贸易方向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2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管理与法学院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管理科学与工程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工程管理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本科为造价工程或工程管理专业，拥有造价工程师证。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管理科学与工程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工程管理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知识产权管理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知识产权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马克思主义学院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马克思主义理论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马克思主义基本原理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马克思主义理论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马克思主义中国化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机电工程学院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微电子学与固体电子学或电路与系统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集成电路设计与新型半导体器件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光学，光学工程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光学相关方向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信息与通信工程或通信与信息系统或信号与信息处理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通信技术、信号处理技术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擅长FPGA技术应用，DSP技术应用优先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电气工程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电力系统及其自动化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资源环境学院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环境工程  工学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环境监测技术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城市规划与设计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风景园林规划与设计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有工作经验和手绘基础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 xml:space="preserve">大地测量学与测量工程 工学 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GNSS测量与应用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大数据学院（信息技术中心）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大数据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大数据/云计算应用/分布式计算/嵌入式技术/机器学习/数据机器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 xml:space="preserve">1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化学与材料工程学院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实验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高分子材料与工程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高分子材料与工程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图书馆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图书资料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图书情报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图书情报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学生处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辅导员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男；中共党员；其他要求见招聘方案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